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8717"/>
        <w:gridCol w:w="1559"/>
      </w:tblGrid>
      <w:tr w:rsidR="00BF0D74" w:rsidTr="007A00A8">
        <w:trPr>
          <w:trHeight w:val="420"/>
        </w:trPr>
        <w:tc>
          <w:tcPr>
            <w:tcW w:w="8717" w:type="dxa"/>
            <w:tcBorders>
              <w:bottom w:val="single" w:sz="4" w:space="0" w:color="auto"/>
            </w:tcBorders>
          </w:tcPr>
          <w:p w:rsidR="00BF0D74" w:rsidRDefault="00BF0D74" w:rsidP="007A00A8">
            <w:pPr>
              <w:rPr>
                <w:rFonts w:ascii="Arial" w:hAnsi="Arial" w:cs="Arial"/>
                <w:b/>
                <w:sz w:val="32"/>
              </w:rPr>
            </w:pPr>
            <w:r>
              <w:rPr>
                <w:rFonts w:ascii="Arial" w:hAnsi="Arial" w:cs="Arial"/>
                <w:b/>
                <w:sz w:val="32"/>
              </w:rPr>
              <w:t>Fischzuchtverein Sondernheim 1926 e.V.</w:t>
            </w:r>
          </w:p>
          <w:p w:rsidR="00BF0D74" w:rsidRDefault="00BF0D74" w:rsidP="007A00A8">
            <w:pPr>
              <w:rPr>
                <w:b/>
              </w:rPr>
            </w:pPr>
            <w:r>
              <w:rPr>
                <w:b/>
                <w:sz w:val="28"/>
              </w:rPr>
              <w:t>Gewässerordnung für Vereinsgewässer</w:t>
            </w:r>
            <w:r>
              <w:rPr>
                <w:b/>
              </w:rPr>
              <w:t xml:space="preserve">                                                Stand 12.01.2003</w:t>
            </w:r>
          </w:p>
        </w:tc>
        <w:tc>
          <w:tcPr>
            <w:tcW w:w="1559" w:type="dxa"/>
            <w:tcBorders>
              <w:bottom w:val="single" w:sz="4" w:space="0" w:color="auto"/>
            </w:tcBorders>
          </w:tcPr>
          <w:p w:rsidR="00BF0D74" w:rsidRDefault="00BF0D74" w:rsidP="007A00A8">
            <w:pPr>
              <w:jc w:val="center"/>
              <w:rPr>
                <w:rFonts w:ascii="Arial" w:hAnsi="Arial" w:cs="Arial"/>
              </w:rPr>
            </w:pPr>
            <w:r>
              <w:rPr>
                <w:rFonts w:ascii="Arial" w:hAnsi="Arial" w:cs="Arial"/>
                <w:b/>
                <w:noProof/>
                <w:sz w:val="32"/>
              </w:rPr>
              <w:drawing>
                <wp:inline distT="0" distB="0" distL="0" distR="0">
                  <wp:extent cx="633095" cy="539115"/>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633095" cy="539115"/>
                          </a:xfrm>
                          <a:prstGeom prst="rect">
                            <a:avLst/>
                          </a:prstGeom>
                          <a:noFill/>
                          <a:ln w="9525">
                            <a:noFill/>
                            <a:miter lim="800000"/>
                            <a:headEnd/>
                            <a:tailEnd/>
                          </a:ln>
                        </pic:spPr>
                      </pic:pic>
                    </a:graphicData>
                  </a:graphic>
                </wp:inline>
              </w:drawing>
            </w:r>
          </w:p>
        </w:tc>
      </w:tr>
    </w:tbl>
    <w:p w:rsidR="00BF0D74" w:rsidRDefault="00BF0D74" w:rsidP="00BF0D74">
      <w:pPr>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 xml:space="preserve">Geltungsbereich </w:t>
      </w:r>
    </w:p>
    <w:p w:rsidR="00BF0D74" w:rsidRDefault="00BF0D74" w:rsidP="00BF0D74">
      <w:pPr>
        <w:pStyle w:val="Textkrper-Zeileneinzug"/>
      </w:pPr>
      <w:r>
        <w:t>Diese Gewässerordnung gilt räumlich für alle im Erlaubnisschein bezeichneten Gewässern und persönlich für alle zum Fischfang in diesen Gewässern Berechtigten (z.B. Vereinsmitglieder, Gastangler). Durch diese Ordnung werden alle vorherigen Bestimmungen ungültig.</w:t>
      </w:r>
    </w:p>
    <w:p w:rsidR="00BF0D74" w:rsidRDefault="00BF0D74" w:rsidP="00BF0D74">
      <w:pPr>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Verpflichtung zur Einhaltung der Bestimmungen</w:t>
      </w:r>
    </w:p>
    <w:p w:rsidR="00BF0D74" w:rsidRDefault="00BF0D74" w:rsidP="00BF0D74">
      <w:pPr>
        <w:ind w:left="283"/>
        <w:jc w:val="both"/>
        <w:rPr>
          <w:rFonts w:ascii="Arial" w:hAnsi="Arial" w:cs="Arial"/>
        </w:rPr>
      </w:pPr>
      <w:r>
        <w:rPr>
          <w:rFonts w:ascii="Arial" w:hAnsi="Arial" w:cs="Arial"/>
        </w:rPr>
        <w:t>Jeder Inhaber eines Erlaubnisscheines für die Vereinsgewässer hat die Pflicht, sich mit den gesetzlichen Vorschriften über die Fischerei vertraut zu machen und diese zu befolgen. Neben dieser Gewässerordnung gelten das Landesfischereigesetz (</w:t>
      </w:r>
      <w:proofErr w:type="spellStart"/>
      <w:r>
        <w:rPr>
          <w:rFonts w:ascii="Arial" w:hAnsi="Arial" w:cs="Arial"/>
        </w:rPr>
        <w:t>LFischG</w:t>
      </w:r>
      <w:proofErr w:type="spellEnd"/>
      <w:r>
        <w:rPr>
          <w:rFonts w:ascii="Arial" w:hAnsi="Arial" w:cs="Arial"/>
        </w:rPr>
        <w:t>), die Landesfischereiordnung (LFO) und das Natur- und Tierschutzgesetz in ihren jeweils aktuellen Fassungen.</w:t>
      </w:r>
    </w:p>
    <w:p w:rsidR="00BF0D74" w:rsidRDefault="00BF0D74" w:rsidP="00BF0D74">
      <w:pPr>
        <w:ind w:left="283"/>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Fischfang an den Vereinsgewässern</w:t>
      </w:r>
    </w:p>
    <w:p w:rsidR="00BF0D74" w:rsidRDefault="00BF0D74" w:rsidP="00BF0D74">
      <w:pPr>
        <w:ind w:left="283"/>
        <w:jc w:val="both"/>
        <w:rPr>
          <w:rFonts w:ascii="Arial" w:hAnsi="Arial" w:cs="Arial"/>
        </w:rPr>
      </w:pPr>
      <w:r>
        <w:rPr>
          <w:rFonts w:ascii="Arial" w:hAnsi="Arial" w:cs="Arial"/>
        </w:rPr>
        <w:t>Als Vereinsgewässer gelten alle im Erlaubnisschein näher bezeichneten Gewässer. Der Erlaubnisschein gilt nur in Verbindung mit dem gültigen amtlichen Fischereischein. Beide sind bei der Ausübung des Fischfangs stets mitzuführen.</w:t>
      </w:r>
    </w:p>
    <w:p w:rsidR="00BF0D74" w:rsidRDefault="00BF0D74" w:rsidP="00BF0D74">
      <w:pPr>
        <w:ind w:left="283"/>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Vereinsgewässer und Verhalten am Angelplatz</w:t>
      </w:r>
    </w:p>
    <w:p w:rsidR="00BF0D74" w:rsidRDefault="00BF0D74" w:rsidP="00BF0D74">
      <w:pPr>
        <w:ind w:left="283"/>
        <w:jc w:val="both"/>
        <w:rPr>
          <w:rFonts w:ascii="Arial" w:hAnsi="Arial" w:cs="Arial"/>
        </w:rPr>
      </w:pPr>
      <w:r>
        <w:rPr>
          <w:rFonts w:ascii="Arial" w:hAnsi="Arial" w:cs="Arial"/>
        </w:rPr>
        <w:t>Der Erlaubnisscheininhaber ist verpflichtet, das Angeln in waidgerechter Weise auszuüben, sich mit den Grenzen der Vereinsgewässer vertraut zu machen und dieselben zu beachten.</w:t>
      </w:r>
    </w:p>
    <w:p w:rsidR="00BF0D74" w:rsidRDefault="00BF0D74" w:rsidP="00BF0D74">
      <w:pPr>
        <w:ind w:left="283"/>
        <w:jc w:val="both"/>
        <w:rPr>
          <w:rFonts w:ascii="Arial" w:hAnsi="Arial" w:cs="Arial"/>
        </w:rPr>
      </w:pPr>
      <w:r>
        <w:rPr>
          <w:rFonts w:ascii="Arial" w:hAnsi="Arial" w:cs="Arial"/>
        </w:rPr>
        <w:t>Kein Angler hat Anspruch auf einen bestimmten Angelplatz, auch dann nicht, wenn er diesen als Fangplatz vorbereitet hat. Diese Bestimmung darf keinesfalls als Aufforderung zu unfairem Verhalten bei der Wahl des Angelplatzes verstanden werden. Beim Angeln ist darauf zu achten, dass andere Angler nicht unverhältnismäßig bei der Ausübung des Fischfangs gestört werden.</w:t>
      </w:r>
    </w:p>
    <w:p w:rsidR="00BF0D74" w:rsidRDefault="00BF0D74" w:rsidP="00BF0D74">
      <w:pPr>
        <w:ind w:left="283"/>
        <w:jc w:val="both"/>
        <w:rPr>
          <w:rFonts w:ascii="Arial" w:hAnsi="Arial" w:cs="Arial"/>
        </w:rPr>
      </w:pPr>
      <w:r>
        <w:rPr>
          <w:rFonts w:ascii="Arial" w:hAnsi="Arial" w:cs="Arial"/>
        </w:rPr>
        <w:t>Es ist die Pflicht jedes Anglers, den Fischfang maßvoll zu betreiben und Rücksicht auf Umwelt und Natur zu nehmen. Jeder Angler hat seinen Angelplatz sauber zu halten und auch mindestens so sauber zu verlassen wie er ihn angetroffen hat. Zelten und Lagern, offenes Feuer sowie Grillen an den Vereinsgewässern ist grundsätzlich nicht erlaubt.</w:t>
      </w:r>
    </w:p>
    <w:p w:rsidR="00BF0D74" w:rsidRDefault="00BF0D74" w:rsidP="00BF0D74">
      <w:pPr>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Fanggeräte</w:t>
      </w:r>
    </w:p>
    <w:p w:rsidR="00BF0D74" w:rsidRDefault="00BF0D74" w:rsidP="00BF0D74">
      <w:pPr>
        <w:ind w:left="283"/>
        <w:jc w:val="both"/>
        <w:rPr>
          <w:rFonts w:ascii="Arial" w:hAnsi="Arial" w:cs="Arial"/>
        </w:rPr>
      </w:pPr>
      <w:r>
        <w:rPr>
          <w:rFonts w:ascii="Arial" w:hAnsi="Arial" w:cs="Arial"/>
        </w:rPr>
        <w:t xml:space="preserve">Der Erlaubnisscheininhaber ist berechtigt, den Fischfang in den im Erlaubnisschein bezeichneten Gewässern mit </w:t>
      </w:r>
      <w:r>
        <w:rPr>
          <w:rFonts w:ascii="Arial" w:hAnsi="Arial" w:cs="Arial"/>
          <w:u w:val="single"/>
        </w:rPr>
        <w:t>2 Handangeln</w:t>
      </w:r>
      <w:r>
        <w:rPr>
          <w:rFonts w:ascii="Arial" w:hAnsi="Arial" w:cs="Arial"/>
        </w:rPr>
        <w:t xml:space="preserve"> und einer </w:t>
      </w:r>
      <w:r>
        <w:rPr>
          <w:rFonts w:ascii="Arial" w:hAnsi="Arial" w:cs="Arial"/>
          <w:u w:val="single"/>
        </w:rPr>
        <w:t>Köderfischsenke</w:t>
      </w:r>
      <w:r>
        <w:rPr>
          <w:rFonts w:ascii="Arial" w:hAnsi="Arial" w:cs="Arial"/>
        </w:rPr>
        <w:t xml:space="preserve"> auszuüben. Dabei muss der Angler seine ausgelegten Handangeln und die Köderfischsenke stets unter persönlicher Aufsicht halten.</w:t>
      </w:r>
    </w:p>
    <w:p w:rsidR="00BF0D74" w:rsidRDefault="00BF0D74" w:rsidP="00BF0D74">
      <w:pPr>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 xml:space="preserve">Als </w:t>
      </w:r>
      <w:r>
        <w:rPr>
          <w:rFonts w:ascii="Arial" w:hAnsi="Arial" w:cs="Arial"/>
          <w:b/>
        </w:rPr>
        <w:t xml:space="preserve">Handangel </w:t>
      </w:r>
      <w:r>
        <w:rPr>
          <w:rFonts w:ascii="Arial" w:hAnsi="Arial" w:cs="Arial"/>
        </w:rPr>
        <w:t>gilt ein Fischereigerät, das aus einer Angelrute, mit oder ohne Rolle, Angelschnur, Angelhaken und Köder besteht. Senker (Blei) und Schwimmer sind zugelassenes Zubehör.</w:t>
      </w:r>
    </w:p>
    <w:p w:rsidR="00BF0D74" w:rsidRDefault="00BF0D74" w:rsidP="00BF0D74">
      <w:pPr>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 xml:space="preserve">Die </w:t>
      </w:r>
      <w:r>
        <w:rPr>
          <w:rFonts w:ascii="Arial" w:hAnsi="Arial" w:cs="Arial"/>
          <w:b/>
        </w:rPr>
        <w:t xml:space="preserve">Friedfischangel </w:t>
      </w:r>
      <w:r>
        <w:rPr>
          <w:rFonts w:ascii="Arial" w:hAnsi="Arial" w:cs="Arial"/>
        </w:rPr>
        <w:t>ist eine Handangel (wie oben beschrieben), bei der alle pflanzlichen Köder, Würmer und natürliche Insekten oder Insektenlarven unter Verwendung eines einfachen Hakens erlaubt sind.</w:t>
      </w:r>
    </w:p>
    <w:p w:rsidR="00BF0D74" w:rsidRDefault="00BF0D74" w:rsidP="00BF0D74">
      <w:pPr>
        <w:ind w:left="283"/>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 xml:space="preserve">Die </w:t>
      </w:r>
      <w:r>
        <w:rPr>
          <w:rFonts w:ascii="Arial" w:hAnsi="Arial" w:cs="Arial"/>
          <w:b/>
        </w:rPr>
        <w:t xml:space="preserve">Raubfischangel </w:t>
      </w:r>
      <w:r>
        <w:rPr>
          <w:rFonts w:ascii="Arial" w:hAnsi="Arial" w:cs="Arial"/>
        </w:rPr>
        <w:t xml:space="preserve">ist eine Handangel (wie oben beschrieben) mit folgender </w:t>
      </w:r>
      <w:proofErr w:type="spellStart"/>
      <w:r>
        <w:rPr>
          <w:rFonts w:ascii="Arial" w:hAnsi="Arial" w:cs="Arial"/>
        </w:rPr>
        <w:t>Beköderung</w:t>
      </w:r>
      <w:proofErr w:type="spellEnd"/>
      <w:r>
        <w:rPr>
          <w:rFonts w:ascii="Arial" w:hAnsi="Arial" w:cs="Arial"/>
        </w:rPr>
        <w:t>:</w:t>
      </w:r>
    </w:p>
    <w:p w:rsidR="00BF0D74" w:rsidRDefault="00BF0D74" w:rsidP="00BF0D74">
      <w:pPr>
        <w:numPr>
          <w:ilvl w:val="0"/>
          <w:numId w:val="1"/>
        </w:numPr>
        <w:tabs>
          <w:tab w:val="clear" w:pos="360"/>
          <w:tab w:val="num" w:pos="1003"/>
        </w:tabs>
        <w:ind w:left="1003"/>
        <w:jc w:val="both"/>
        <w:rPr>
          <w:rFonts w:ascii="Arial" w:hAnsi="Arial" w:cs="Arial"/>
        </w:rPr>
      </w:pPr>
      <w:r>
        <w:rPr>
          <w:rFonts w:ascii="Arial" w:hAnsi="Arial" w:cs="Arial"/>
        </w:rPr>
        <w:t>Toter Köderfisch, Fischstücke, Krebsstücke, tote Kleinwirbeltiere,</w:t>
      </w:r>
    </w:p>
    <w:p w:rsidR="00BF0D74" w:rsidRDefault="00BF0D74" w:rsidP="00BF0D74">
      <w:pPr>
        <w:numPr>
          <w:ilvl w:val="0"/>
          <w:numId w:val="1"/>
        </w:numPr>
        <w:tabs>
          <w:tab w:val="clear" w:pos="360"/>
          <w:tab w:val="num" w:pos="1003"/>
        </w:tabs>
        <w:ind w:left="1003"/>
        <w:jc w:val="both"/>
        <w:rPr>
          <w:rFonts w:ascii="Arial" w:hAnsi="Arial" w:cs="Arial"/>
        </w:rPr>
      </w:pPr>
      <w:r>
        <w:rPr>
          <w:rFonts w:ascii="Arial" w:hAnsi="Arial" w:cs="Arial"/>
        </w:rPr>
        <w:t>künstliche Köder wie Blinker, Löffler, Wobbler, Kosak oder andere Nachbildungen von Fischen, Krebsen und Kleinwirbeltiere.</w:t>
      </w:r>
    </w:p>
    <w:p w:rsidR="00BF0D74" w:rsidRDefault="00BF0D74" w:rsidP="00BF0D74">
      <w:pPr>
        <w:ind w:left="283"/>
        <w:jc w:val="both"/>
        <w:rPr>
          <w:rFonts w:ascii="Arial" w:hAnsi="Arial" w:cs="Arial"/>
        </w:rPr>
      </w:pPr>
      <w:r>
        <w:rPr>
          <w:rFonts w:ascii="Arial" w:hAnsi="Arial" w:cs="Arial"/>
        </w:rPr>
        <w:t xml:space="preserve">Die Verwendung des </w:t>
      </w:r>
      <w:r>
        <w:rPr>
          <w:rFonts w:ascii="Arial" w:hAnsi="Arial" w:cs="Arial"/>
          <w:u w:val="single"/>
        </w:rPr>
        <w:t>lebenden Köderfisches</w:t>
      </w:r>
      <w:r>
        <w:rPr>
          <w:rFonts w:ascii="Arial" w:hAnsi="Arial" w:cs="Arial"/>
        </w:rPr>
        <w:t xml:space="preserve"> ist grundsätzlich </w:t>
      </w:r>
      <w:r>
        <w:rPr>
          <w:rFonts w:ascii="Arial" w:hAnsi="Arial" w:cs="Arial"/>
          <w:u w:val="single"/>
        </w:rPr>
        <w:t>verboten</w:t>
      </w:r>
      <w:r>
        <w:rPr>
          <w:rFonts w:ascii="Arial" w:hAnsi="Arial" w:cs="Arial"/>
        </w:rPr>
        <w:t>.</w:t>
      </w:r>
    </w:p>
    <w:p w:rsidR="00BF0D74" w:rsidRDefault="00BF0D74" w:rsidP="00BF0D74">
      <w:pPr>
        <w:numPr>
          <w:ilvl w:val="12"/>
          <w:numId w:val="0"/>
        </w:numPr>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 xml:space="preserve">Die </w:t>
      </w:r>
      <w:r>
        <w:rPr>
          <w:rFonts w:ascii="Arial" w:hAnsi="Arial" w:cs="Arial"/>
          <w:b/>
        </w:rPr>
        <w:t xml:space="preserve">Schleppangel </w:t>
      </w:r>
      <w:r>
        <w:rPr>
          <w:rFonts w:ascii="Arial" w:hAnsi="Arial" w:cs="Arial"/>
        </w:rPr>
        <w:t>ist eine Raubfischangel, deren Köder hinter einem von Hand bewegten Boot geschleppt wird. Sie ist in der Zeit vom 1. Juni bis 31. Januar und dann nur von Sonnenauf- bis Sonnenuntergang erlaubt.</w:t>
      </w:r>
    </w:p>
    <w:p w:rsidR="00BF0D74" w:rsidRDefault="00BF0D74" w:rsidP="00BF0D74">
      <w:pPr>
        <w:numPr>
          <w:ilvl w:val="12"/>
          <w:numId w:val="0"/>
        </w:numPr>
        <w:ind w:left="283" w:hanging="283"/>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 xml:space="preserve">Die </w:t>
      </w:r>
      <w:r>
        <w:rPr>
          <w:rFonts w:ascii="Arial" w:hAnsi="Arial" w:cs="Arial"/>
          <w:b/>
        </w:rPr>
        <w:t xml:space="preserve">Tippangel </w:t>
      </w:r>
      <w:r>
        <w:rPr>
          <w:rFonts w:ascii="Arial" w:hAnsi="Arial" w:cs="Arial"/>
        </w:rPr>
        <w:t>(Kosak). Bei der Tippangel darf der künstliche Köder nicht länger als 55 mm und nicht schwerer als 30 Gramm sein. Als Haken ist nur ein Drilling statthaft, dessen Krümmungsdurchmesser am Einzelhaken jeweils 9 mm nicht überschreitet. Das Kosaken ist nur bei senkrechter Schnurführung und in der Zeit vom 1. Juni bis 31. September erlaubt.</w:t>
      </w:r>
    </w:p>
    <w:p w:rsidR="00BF0D74" w:rsidRDefault="00BF0D74" w:rsidP="00BF0D74">
      <w:pPr>
        <w:numPr>
          <w:ilvl w:val="12"/>
          <w:numId w:val="0"/>
        </w:numPr>
        <w:ind w:left="283" w:hanging="283"/>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 xml:space="preserve">Die </w:t>
      </w:r>
      <w:r>
        <w:rPr>
          <w:rFonts w:ascii="Arial" w:hAnsi="Arial" w:cs="Arial"/>
          <w:b/>
        </w:rPr>
        <w:t xml:space="preserve">Köderfischsenke </w:t>
      </w:r>
      <w:r>
        <w:rPr>
          <w:rFonts w:ascii="Arial" w:hAnsi="Arial" w:cs="Arial"/>
        </w:rPr>
        <w:t>ist ein Senk- oder Bügelnetz mit waagrecht zu führender Fangfläche. Die Größe des Netzes darf einen Quadratmeter, die Maschenweite 10 mm nicht überschreiten. Die Köderfischsenke darf nur zum Fang von Köderfischen eingesetzt werden. Alle Gutfische, gleich welcher Größe und Art, sind unverzüglich und schonend ins Gewässer zurückzusetzen.</w:t>
      </w:r>
    </w:p>
    <w:p w:rsidR="00BF0D74" w:rsidRDefault="00BF0D74" w:rsidP="00BF0D74">
      <w:pPr>
        <w:ind w:left="283"/>
        <w:jc w:val="both"/>
        <w:rPr>
          <w:rFonts w:ascii="Arial" w:hAnsi="Arial" w:cs="Arial"/>
        </w:rPr>
      </w:pPr>
    </w:p>
    <w:p w:rsidR="00BF0D74" w:rsidRDefault="00BF0D74" w:rsidP="00BF0D74">
      <w:pPr>
        <w:ind w:left="283"/>
        <w:jc w:val="both"/>
        <w:rPr>
          <w:rFonts w:ascii="Arial" w:hAnsi="Arial" w:cs="Arial"/>
        </w:rPr>
      </w:pPr>
      <w:r>
        <w:rPr>
          <w:rFonts w:ascii="Arial" w:hAnsi="Arial" w:cs="Arial"/>
        </w:rPr>
        <w:t>Vom 1. Februar bis 31. Mai ist der Gebrauch der Köderfischsenke, von Spinnern, Blinkern oder sonstigen künstlichen Ködern und Systemen in den Vereinsgewässern nicht erlaubt.</w:t>
      </w:r>
    </w:p>
    <w:p w:rsidR="00BF0D74" w:rsidRDefault="00BF0D74" w:rsidP="00BF0D74">
      <w:pPr>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lastRenderedPageBreak/>
        <w:t>Benutzung von Booten</w:t>
      </w:r>
    </w:p>
    <w:p w:rsidR="00BF0D74" w:rsidRDefault="00BF0D74" w:rsidP="00BF0D74">
      <w:pPr>
        <w:ind w:left="283"/>
        <w:jc w:val="both"/>
        <w:rPr>
          <w:rFonts w:ascii="Arial" w:hAnsi="Arial" w:cs="Arial"/>
        </w:rPr>
      </w:pPr>
      <w:r>
        <w:rPr>
          <w:rFonts w:ascii="Arial" w:hAnsi="Arial" w:cs="Arial"/>
        </w:rPr>
        <w:t>Die Benutzung von Booten zum Angeln ist in den Baggerseen "</w:t>
      </w:r>
      <w:proofErr w:type="spellStart"/>
      <w:r>
        <w:rPr>
          <w:rFonts w:ascii="Arial" w:hAnsi="Arial" w:cs="Arial"/>
        </w:rPr>
        <w:t>Gänskopf</w:t>
      </w:r>
      <w:proofErr w:type="spellEnd"/>
      <w:r>
        <w:rPr>
          <w:rFonts w:ascii="Arial" w:hAnsi="Arial" w:cs="Arial"/>
        </w:rPr>
        <w:t>" und "Scherer I" für Vereinsmitglieder und Inhaber von Jahreskarten gestattet. Die Befugnis zur Benutzung von Booten und Wasserfahrzeugen beinhaltet die Befugnis zur zeitweiligen Benutzung eines ausgewiesenen Uferbereiches als Liegeplatz. Das Boot muss ein vom Ufer aus sichtbar angebrachtes Nummernschild zeigen, das gegen eine Gebühr von 4,00 Euro vom Verein bezogen werden kann. Nicht gekennzeichnete bzw. verwahrloste Boote werden kostenpflichtig entsorgt.</w:t>
      </w:r>
    </w:p>
    <w:p w:rsidR="00BF0D74" w:rsidRDefault="00BF0D74" w:rsidP="00BF0D74">
      <w:pPr>
        <w:numPr>
          <w:ilvl w:val="12"/>
          <w:numId w:val="0"/>
        </w:numPr>
        <w:ind w:left="283" w:hanging="283"/>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Mindestmaße</w:t>
      </w:r>
    </w:p>
    <w:p w:rsidR="00BF0D74" w:rsidRDefault="00BF0D74" w:rsidP="00BF0D74">
      <w:pPr>
        <w:numPr>
          <w:ilvl w:val="12"/>
          <w:numId w:val="0"/>
        </w:numPr>
        <w:ind w:left="566" w:hanging="283"/>
        <w:jc w:val="both"/>
        <w:rPr>
          <w:rFonts w:ascii="Arial" w:hAnsi="Arial" w:cs="Arial"/>
        </w:rPr>
      </w:pPr>
      <w:r>
        <w:rPr>
          <w:rFonts w:ascii="Arial" w:hAnsi="Arial" w:cs="Arial"/>
        </w:rPr>
        <w:t>Im Geltungsbereich dieser Ordnung gelten folgende Mindestmaße:</w:t>
      </w:r>
    </w:p>
    <w:p w:rsidR="00BF0D74" w:rsidRDefault="00BF0D74" w:rsidP="00BF0D74">
      <w:pPr>
        <w:numPr>
          <w:ilvl w:val="12"/>
          <w:numId w:val="0"/>
        </w:numPr>
        <w:ind w:left="566" w:hanging="283"/>
        <w:jc w:val="both"/>
        <w:rPr>
          <w:rFonts w:ascii="Arial" w:hAnsi="Arial" w:cs="Arial"/>
          <w:sz w:val="16"/>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48"/>
        <w:gridCol w:w="1028"/>
        <w:gridCol w:w="1985"/>
        <w:gridCol w:w="1134"/>
        <w:gridCol w:w="1984"/>
        <w:gridCol w:w="1134"/>
      </w:tblGrid>
      <w:tr w:rsidR="00BF0D74" w:rsidTr="007A00A8">
        <w:tc>
          <w:tcPr>
            <w:tcW w:w="1948" w:type="dxa"/>
            <w:tcBorders>
              <w:right w:val="nil"/>
            </w:tcBorders>
          </w:tcPr>
          <w:p w:rsidR="00BF0D74" w:rsidRDefault="00BF0D74" w:rsidP="007A00A8">
            <w:pPr>
              <w:numPr>
                <w:ilvl w:val="12"/>
                <w:numId w:val="0"/>
              </w:numPr>
              <w:jc w:val="both"/>
              <w:rPr>
                <w:rFonts w:ascii="Arial" w:hAnsi="Arial" w:cs="Arial"/>
              </w:rPr>
            </w:pPr>
            <w:r>
              <w:rPr>
                <w:rFonts w:ascii="Arial" w:hAnsi="Arial" w:cs="Arial"/>
              </w:rPr>
              <w:t>Hecht</w:t>
            </w:r>
          </w:p>
        </w:tc>
        <w:tc>
          <w:tcPr>
            <w:tcW w:w="1028" w:type="dxa"/>
            <w:tcBorders>
              <w:left w:val="nil"/>
              <w:right w:val="nil"/>
            </w:tcBorders>
          </w:tcPr>
          <w:p w:rsidR="00BF0D74" w:rsidRDefault="00BF0D74" w:rsidP="007A00A8">
            <w:pPr>
              <w:numPr>
                <w:ilvl w:val="12"/>
                <w:numId w:val="0"/>
              </w:numPr>
              <w:jc w:val="both"/>
              <w:rPr>
                <w:rFonts w:ascii="Arial" w:hAnsi="Arial" w:cs="Arial"/>
              </w:rPr>
            </w:pPr>
            <w:r>
              <w:rPr>
                <w:rFonts w:ascii="Arial" w:hAnsi="Arial" w:cs="Arial"/>
              </w:rPr>
              <w:t>50 cm</w:t>
            </w:r>
          </w:p>
        </w:tc>
        <w:tc>
          <w:tcPr>
            <w:tcW w:w="1985" w:type="dxa"/>
            <w:tcBorders>
              <w:top w:val="single" w:sz="4" w:space="0" w:color="auto"/>
              <w:left w:val="single" w:sz="4" w:space="0" w:color="auto"/>
              <w:bottom w:val="nil"/>
              <w:right w:val="nil"/>
            </w:tcBorders>
          </w:tcPr>
          <w:p w:rsidR="00BF0D74" w:rsidRDefault="00BF0D74" w:rsidP="007A00A8">
            <w:pPr>
              <w:numPr>
                <w:ilvl w:val="12"/>
                <w:numId w:val="0"/>
              </w:numPr>
              <w:jc w:val="both"/>
              <w:rPr>
                <w:rFonts w:ascii="Arial" w:hAnsi="Arial" w:cs="Arial"/>
              </w:rPr>
            </w:pPr>
            <w:r>
              <w:rPr>
                <w:rFonts w:ascii="Arial" w:hAnsi="Arial" w:cs="Arial"/>
              </w:rPr>
              <w:t>Barbe</w:t>
            </w:r>
          </w:p>
        </w:tc>
        <w:tc>
          <w:tcPr>
            <w:tcW w:w="1134" w:type="dxa"/>
            <w:tcBorders>
              <w:top w:val="single" w:sz="4" w:space="0" w:color="auto"/>
              <w:left w:val="nil"/>
              <w:bottom w:val="nil"/>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35 cm</w:t>
            </w:r>
          </w:p>
        </w:tc>
        <w:tc>
          <w:tcPr>
            <w:tcW w:w="1984" w:type="dxa"/>
            <w:tcBorders>
              <w:top w:val="single" w:sz="4" w:space="0" w:color="auto"/>
              <w:left w:val="nil"/>
              <w:bottom w:val="nil"/>
              <w:right w:val="nil"/>
            </w:tcBorders>
          </w:tcPr>
          <w:p w:rsidR="00BF0D74" w:rsidRDefault="00BF0D74" w:rsidP="007A00A8">
            <w:pPr>
              <w:numPr>
                <w:ilvl w:val="12"/>
                <w:numId w:val="0"/>
              </w:numPr>
              <w:jc w:val="both"/>
              <w:rPr>
                <w:rFonts w:ascii="Arial" w:hAnsi="Arial" w:cs="Arial"/>
              </w:rPr>
            </w:pPr>
            <w:r>
              <w:rPr>
                <w:rFonts w:ascii="Arial" w:hAnsi="Arial" w:cs="Arial"/>
              </w:rPr>
              <w:t>Regenbogenforelle</w:t>
            </w:r>
          </w:p>
        </w:tc>
        <w:tc>
          <w:tcPr>
            <w:tcW w:w="1134" w:type="dxa"/>
            <w:tcBorders>
              <w:top w:val="single" w:sz="4" w:space="0" w:color="auto"/>
              <w:left w:val="nil"/>
              <w:bottom w:val="nil"/>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25 cm</w:t>
            </w:r>
          </w:p>
        </w:tc>
      </w:tr>
      <w:tr w:rsidR="00BF0D74" w:rsidTr="007A00A8">
        <w:tc>
          <w:tcPr>
            <w:tcW w:w="1948" w:type="dxa"/>
            <w:tcBorders>
              <w:right w:val="nil"/>
            </w:tcBorders>
          </w:tcPr>
          <w:p w:rsidR="00BF0D74" w:rsidRDefault="00BF0D74" w:rsidP="007A00A8">
            <w:pPr>
              <w:numPr>
                <w:ilvl w:val="12"/>
                <w:numId w:val="0"/>
              </w:numPr>
              <w:jc w:val="both"/>
              <w:rPr>
                <w:rFonts w:ascii="Arial" w:hAnsi="Arial" w:cs="Arial"/>
              </w:rPr>
            </w:pPr>
            <w:r>
              <w:rPr>
                <w:rFonts w:ascii="Arial" w:hAnsi="Arial" w:cs="Arial"/>
              </w:rPr>
              <w:t>Zander</w:t>
            </w:r>
          </w:p>
        </w:tc>
        <w:tc>
          <w:tcPr>
            <w:tcW w:w="1028" w:type="dxa"/>
            <w:tcBorders>
              <w:left w:val="nil"/>
              <w:right w:val="nil"/>
            </w:tcBorders>
          </w:tcPr>
          <w:p w:rsidR="00BF0D74" w:rsidRDefault="00BF0D74" w:rsidP="007A00A8">
            <w:pPr>
              <w:numPr>
                <w:ilvl w:val="12"/>
                <w:numId w:val="0"/>
              </w:numPr>
              <w:jc w:val="both"/>
              <w:rPr>
                <w:rFonts w:ascii="Arial" w:hAnsi="Arial" w:cs="Arial"/>
              </w:rPr>
            </w:pPr>
            <w:r>
              <w:rPr>
                <w:rFonts w:ascii="Arial" w:hAnsi="Arial" w:cs="Arial"/>
              </w:rPr>
              <w:t>45 cm</w:t>
            </w:r>
          </w:p>
        </w:tc>
        <w:tc>
          <w:tcPr>
            <w:tcW w:w="1985" w:type="dxa"/>
            <w:tcBorders>
              <w:top w:val="single" w:sz="4" w:space="0" w:color="auto"/>
              <w:left w:val="single" w:sz="4" w:space="0" w:color="auto"/>
              <w:bottom w:val="nil"/>
              <w:right w:val="nil"/>
            </w:tcBorders>
          </w:tcPr>
          <w:p w:rsidR="00BF0D74" w:rsidRDefault="00BF0D74" w:rsidP="007A00A8">
            <w:pPr>
              <w:numPr>
                <w:ilvl w:val="12"/>
                <w:numId w:val="0"/>
              </w:numPr>
              <w:jc w:val="both"/>
              <w:rPr>
                <w:rFonts w:ascii="Arial" w:hAnsi="Arial" w:cs="Arial"/>
              </w:rPr>
            </w:pPr>
            <w:r>
              <w:rPr>
                <w:rFonts w:ascii="Arial" w:hAnsi="Arial" w:cs="Arial"/>
              </w:rPr>
              <w:t>Schleie</w:t>
            </w:r>
          </w:p>
        </w:tc>
        <w:tc>
          <w:tcPr>
            <w:tcW w:w="1134" w:type="dxa"/>
            <w:tcBorders>
              <w:top w:val="single" w:sz="4" w:space="0" w:color="auto"/>
              <w:left w:val="nil"/>
              <w:bottom w:val="nil"/>
              <w:right w:val="single" w:sz="4" w:space="0" w:color="auto"/>
            </w:tcBorders>
          </w:tcPr>
          <w:p w:rsidR="00BF0D74" w:rsidRDefault="00BF0D74" w:rsidP="007A00A8">
            <w:pPr>
              <w:numPr>
                <w:ilvl w:val="12"/>
                <w:numId w:val="0"/>
              </w:numPr>
              <w:ind w:left="283" w:hanging="283"/>
              <w:jc w:val="both"/>
              <w:rPr>
                <w:rFonts w:ascii="Arial" w:hAnsi="Arial" w:cs="Arial"/>
                <w:lang w:val="it-IT"/>
              </w:rPr>
            </w:pPr>
            <w:r>
              <w:rPr>
                <w:rFonts w:ascii="Arial" w:hAnsi="Arial" w:cs="Arial"/>
                <w:lang w:val="it-IT"/>
              </w:rPr>
              <w:t>25 cm</w:t>
            </w:r>
          </w:p>
        </w:tc>
        <w:tc>
          <w:tcPr>
            <w:tcW w:w="1984" w:type="dxa"/>
            <w:tcBorders>
              <w:top w:val="single" w:sz="4" w:space="0" w:color="auto"/>
              <w:left w:val="nil"/>
              <w:bottom w:val="nil"/>
              <w:right w:val="nil"/>
            </w:tcBorders>
          </w:tcPr>
          <w:p w:rsidR="00BF0D74" w:rsidRDefault="00BF0D74" w:rsidP="007A00A8">
            <w:pPr>
              <w:numPr>
                <w:ilvl w:val="12"/>
                <w:numId w:val="0"/>
              </w:numPr>
              <w:jc w:val="both"/>
              <w:rPr>
                <w:rFonts w:ascii="Arial" w:hAnsi="Arial" w:cs="Arial"/>
                <w:lang w:val="it-IT"/>
              </w:rPr>
            </w:pPr>
            <w:proofErr w:type="spellStart"/>
            <w:r>
              <w:rPr>
                <w:rFonts w:ascii="Arial" w:hAnsi="Arial" w:cs="Arial"/>
                <w:lang w:val="it-IT"/>
              </w:rPr>
              <w:t>Nase</w:t>
            </w:r>
            <w:proofErr w:type="spellEnd"/>
          </w:p>
        </w:tc>
        <w:tc>
          <w:tcPr>
            <w:tcW w:w="1134" w:type="dxa"/>
            <w:tcBorders>
              <w:top w:val="single" w:sz="4" w:space="0" w:color="auto"/>
              <w:left w:val="nil"/>
              <w:bottom w:val="nil"/>
              <w:right w:val="single" w:sz="4" w:space="0" w:color="auto"/>
            </w:tcBorders>
          </w:tcPr>
          <w:p w:rsidR="00BF0D74" w:rsidRDefault="00BF0D74" w:rsidP="007A00A8">
            <w:pPr>
              <w:numPr>
                <w:ilvl w:val="12"/>
                <w:numId w:val="0"/>
              </w:numPr>
              <w:ind w:left="283" w:hanging="283"/>
              <w:jc w:val="both"/>
              <w:rPr>
                <w:rFonts w:ascii="Arial" w:hAnsi="Arial" w:cs="Arial"/>
                <w:lang w:val="it-IT"/>
              </w:rPr>
            </w:pPr>
            <w:r>
              <w:rPr>
                <w:rFonts w:ascii="Arial" w:hAnsi="Arial" w:cs="Arial"/>
                <w:lang w:val="it-IT"/>
              </w:rPr>
              <w:t>20 cm</w:t>
            </w:r>
          </w:p>
        </w:tc>
      </w:tr>
      <w:tr w:rsidR="00BF0D74" w:rsidTr="007A00A8">
        <w:tc>
          <w:tcPr>
            <w:tcW w:w="1948" w:type="dxa"/>
            <w:tcBorders>
              <w:right w:val="nil"/>
            </w:tcBorders>
          </w:tcPr>
          <w:p w:rsidR="00BF0D74" w:rsidRDefault="00BF0D74" w:rsidP="007A00A8">
            <w:pPr>
              <w:numPr>
                <w:ilvl w:val="12"/>
                <w:numId w:val="0"/>
              </w:numPr>
              <w:jc w:val="both"/>
              <w:rPr>
                <w:rFonts w:ascii="Arial" w:hAnsi="Arial" w:cs="Arial"/>
              </w:rPr>
            </w:pPr>
            <w:r>
              <w:rPr>
                <w:rFonts w:ascii="Arial" w:hAnsi="Arial" w:cs="Arial"/>
              </w:rPr>
              <w:t>Aal</w:t>
            </w:r>
          </w:p>
        </w:tc>
        <w:tc>
          <w:tcPr>
            <w:tcW w:w="1028" w:type="dxa"/>
            <w:tcBorders>
              <w:left w:val="nil"/>
              <w:right w:val="nil"/>
            </w:tcBorders>
          </w:tcPr>
          <w:p w:rsidR="00BF0D74" w:rsidRDefault="00BF0D74" w:rsidP="007A00A8">
            <w:pPr>
              <w:numPr>
                <w:ilvl w:val="12"/>
                <w:numId w:val="0"/>
              </w:numPr>
              <w:ind w:left="283" w:hanging="283"/>
              <w:jc w:val="both"/>
              <w:rPr>
                <w:rFonts w:ascii="Arial" w:hAnsi="Arial" w:cs="Arial"/>
              </w:rPr>
            </w:pPr>
            <w:r>
              <w:rPr>
                <w:rFonts w:ascii="Arial" w:hAnsi="Arial" w:cs="Arial"/>
              </w:rPr>
              <w:t>40 cm</w:t>
            </w:r>
          </w:p>
        </w:tc>
        <w:tc>
          <w:tcPr>
            <w:tcW w:w="1985" w:type="dxa"/>
            <w:tcBorders>
              <w:top w:val="single" w:sz="4" w:space="0" w:color="auto"/>
              <w:left w:val="single" w:sz="4" w:space="0" w:color="auto"/>
              <w:bottom w:val="single" w:sz="4" w:space="0" w:color="auto"/>
              <w:right w:val="nil"/>
            </w:tcBorders>
          </w:tcPr>
          <w:p w:rsidR="00BF0D74" w:rsidRDefault="00BF0D74" w:rsidP="007A00A8">
            <w:pPr>
              <w:numPr>
                <w:ilvl w:val="12"/>
                <w:numId w:val="0"/>
              </w:numPr>
              <w:jc w:val="both"/>
              <w:rPr>
                <w:rFonts w:ascii="Arial" w:hAnsi="Arial" w:cs="Arial"/>
              </w:rPr>
            </w:pPr>
            <w:r>
              <w:rPr>
                <w:rFonts w:ascii="Arial" w:hAnsi="Arial" w:cs="Arial"/>
              </w:rPr>
              <w:t>Bachforelle</w:t>
            </w:r>
          </w:p>
        </w:tc>
        <w:tc>
          <w:tcPr>
            <w:tcW w:w="1134" w:type="dxa"/>
            <w:tcBorders>
              <w:top w:val="single" w:sz="4" w:space="0" w:color="auto"/>
              <w:left w:val="nil"/>
              <w:bottom w:val="single" w:sz="4" w:space="0" w:color="auto"/>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25 cm</w:t>
            </w:r>
          </w:p>
        </w:tc>
        <w:tc>
          <w:tcPr>
            <w:tcW w:w="1984" w:type="dxa"/>
            <w:tcBorders>
              <w:top w:val="single" w:sz="4" w:space="0" w:color="auto"/>
              <w:left w:val="nil"/>
              <w:bottom w:val="single" w:sz="4" w:space="0" w:color="auto"/>
              <w:right w:val="nil"/>
            </w:tcBorders>
          </w:tcPr>
          <w:p w:rsidR="00BF0D74" w:rsidRDefault="00BF0D74" w:rsidP="007A00A8">
            <w:pPr>
              <w:numPr>
                <w:ilvl w:val="12"/>
                <w:numId w:val="0"/>
              </w:numPr>
              <w:jc w:val="both"/>
              <w:rPr>
                <w:rFonts w:ascii="Arial" w:hAnsi="Arial" w:cs="Arial"/>
              </w:rPr>
            </w:pPr>
            <w:r>
              <w:rPr>
                <w:rFonts w:ascii="Arial" w:hAnsi="Arial" w:cs="Arial"/>
              </w:rPr>
              <w:t>Plötze (Rotauge)</w:t>
            </w:r>
          </w:p>
        </w:tc>
        <w:tc>
          <w:tcPr>
            <w:tcW w:w="1134" w:type="dxa"/>
            <w:tcBorders>
              <w:top w:val="single" w:sz="4" w:space="0" w:color="auto"/>
              <w:left w:val="nil"/>
              <w:bottom w:val="single" w:sz="4" w:space="0" w:color="auto"/>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15 cm</w:t>
            </w:r>
          </w:p>
        </w:tc>
      </w:tr>
      <w:tr w:rsidR="00BF0D74" w:rsidTr="007A00A8">
        <w:tc>
          <w:tcPr>
            <w:tcW w:w="1948" w:type="dxa"/>
            <w:tcBorders>
              <w:right w:val="nil"/>
            </w:tcBorders>
          </w:tcPr>
          <w:p w:rsidR="00BF0D74" w:rsidRDefault="00BF0D74" w:rsidP="007A00A8">
            <w:pPr>
              <w:numPr>
                <w:ilvl w:val="12"/>
                <w:numId w:val="0"/>
              </w:numPr>
              <w:jc w:val="both"/>
              <w:rPr>
                <w:rFonts w:ascii="Arial" w:hAnsi="Arial" w:cs="Arial"/>
              </w:rPr>
            </w:pPr>
            <w:r>
              <w:rPr>
                <w:rFonts w:ascii="Arial" w:hAnsi="Arial" w:cs="Arial"/>
              </w:rPr>
              <w:t>Karpfen</w:t>
            </w:r>
          </w:p>
        </w:tc>
        <w:tc>
          <w:tcPr>
            <w:tcW w:w="1028" w:type="dxa"/>
            <w:tcBorders>
              <w:left w:val="nil"/>
              <w:right w:val="nil"/>
            </w:tcBorders>
          </w:tcPr>
          <w:p w:rsidR="00BF0D74" w:rsidRDefault="00BF0D74" w:rsidP="007A00A8">
            <w:pPr>
              <w:numPr>
                <w:ilvl w:val="12"/>
                <w:numId w:val="0"/>
              </w:numPr>
              <w:ind w:left="283" w:hanging="283"/>
              <w:jc w:val="both"/>
              <w:rPr>
                <w:rFonts w:ascii="Arial" w:hAnsi="Arial" w:cs="Arial"/>
              </w:rPr>
            </w:pPr>
            <w:r>
              <w:rPr>
                <w:rFonts w:ascii="Arial" w:hAnsi="Arial" w:cs="Arial"/>
              </w:rPr>
              <w:t>35 cm</w:t>
            </w:r>
          </w:p>
        </w:tc>
        <w:tc>
          <w:tcPr>
            <w:tcW w:w="1985" w:type="dxa"/>
            <w:tcBorders>
              <w:top w:val="nil"/>
              <w:left w:val="single" w:sz="4" w:space="0" w:color="auto"/>
              <w:bottom w:val="single" w:sz="4" w:space="0" w:color="auto"/>
              <w:right w:val="nil"/>
            </w:tcBorders>
          </w:tcPr>
          <w:p w:rsidR="00BF0D74" w:rsidRDefault="00BF0D74" w:rsidP="007A00A8">
            <w:pPr>
              <w:numPr>
                <w:ilvl w:val="12"/>
                <w:numId w:val="0"/>
              </w:numPr>
              <w:jc w:val="both"/>
              <w:rPr>
                <w:rFonts w:ascii="Arial" w:hAnsi="Arial" w:cs="Arial"/>
                <w:lang w:val="en-US"/>
              </w:rPr>
            </w:pPr>
            <w:proofErr w:type="spellStart"/>
            <w:r>
              <w:rPr>
                <w:rFonts w:ascii="Arial" w:hAnsi="Arial" w:cs="Arial"/>
                <w:lang w:val="en-US"/>
              </w:rPr>
              <w:t>Bachsaibling</w:t>
            </w:r>
            <w:proofErr w:type="spellEnd"/>
          </w:p>
        </w:tc>
        <w:tc>
          <w:tcPr>
            <w:tcW w:w="1134" w:type="dxa"/>
            <w:tcBorders>
              <w:top w:val="nil"/>
              <w:left w:val="nil"/>
              <w:bottom w:val="single" w:sz="4" w:space="0" w:color="auto"/>
              <w:right w:val="single" w:sz="4" w:space="0" w:color="auto"/>
            </w:tcBorders>
          </w:tcPr>
          <w:p w:rsidR="00BF0D74" w:rsidRDefault="00BF0D74" w:rsidP="007A00A8">
            <w:pPr>
              <w:numPr>
                <w:ilvl w:val="12"/>
                <w:numId w:val="0"/>
              </w:numPr>
              <w:ind w:left="283" w:hanging="283"/>
              <w:jc w:val="both"/>
              <w:rPr>
                <w:rFonts w:ascii="Arial" w:hAnsi="Arial" w:cs="Arial"/>
                <w:lang w:val="en-US"/>
              </w:rPr>
            </w:pPr>
            <w:r>
              <w:rPr>
                <w:rFonts w:ascii="Arial" w:hAnsi="Arial" w:cs="Arial"/>
                <w:lang w:val="en-US"/>
              </w:rPr>
              <w:t>25 cm</w:t>
            </w:r>
          </w:p>
        </w:tc>
        <w:tc>
          <w:tcPr>
            <w:tcW w:w="1984" w:type="dxa"/>
            <w:tcBorders>
              <w:top w:val="nil"/>
              <w:left w:val="nil"/>
              <w:bottom w:val="single" w:sz="4" w:space="0" w:color="auto"/>
              <w:right w:val="nil"/>
            </w:tcBorders>
          </w:tcPr>
          <w:p w:rsidR="00BF0D74" w:rsidRDefault="00BF0D74" w:rsidP="007A00A8">
            <w:pPr>
              <w:numPr>
                <w:ilvl w:val="12"/>
                <w:numId w:val="0"/>
              </w:numPr>
              <w:jc w:val="both"/>
              <w:rPr>
                <w:rFonts w:ascii="Arial" w:hAnsi="Arial" w:cs="Arial"/>
                <w:lang w:val="en-US"/>
              </w:rPr>
            </w:pPr>
            <w:proofErr w:type="spellStart"/>
            <w:r>
              <w:rPr>
                <w:rFonts w:ascii="Arial" w:hAnsi="Arial" w:cs="Arial"/>
                <w:lang w:val="en-US"/>
              </w:rPr>
              <w:t>Rotfeder</w:t>
            </w:r>
            <w:proofErr w:type="spellEnd"/>
          </w:p>
        </w:tc>
        <w:tc>
          <w:tcPr>
            <w:tcW w:w="1134" w:type="dxa"/>
            <w:tcBorders>
              <w:top w:val="nil"/>
              <w:left w:val="nil"/>
              <w:bottom w:val="single" w:sz="4" w:space="0" w:color="auto"/>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15 cm</w:t>
            </w:r>
          </w:p>
        </w:tc>
      </w:tr>
    </w:tbl>
    <w:p w:rsidR="00BF0D74" w:rsidRDefault="00BF0D74" w:rsidP="00BF0D74">
      <w:pPr>
        <w:rPr>
          <w:rFonts w:ascii="Arial" w:hAnsi="Arial" w:cs="Arial"/>
          <w:sz w:val="16"/>
        </w:rPr>
      </w:pPr>
    </w:p>
    <w:p w:rsidR="00BF0D74" w:rsidRDefault="00BF0D74" w:rsidP="00BF0D74">
      <w:pPr>
        <w:numPr>
          <w:ilvl w:val="12"/>
          <w:numId w:val="0"/>
        </w:numPr>
        <w:ind w:left="283"/>
        <w:jc w:val="both"/>
        <w:rPr>
          <w:rFonts w:ascii="Arial" w:hAnsi="Arial" w:cs="Arial"/>
        </w:rPr>
      </w:pPr>
      <w:r>
        <w:rPr>
          <w:rFonts w:ascii="Arial" w:hAnsi="Arial" w:cs="Arial"/>
        </w:rPr>
        <w:t>Als Mindestmaß gilt bei Fischen der Abstand von der Kopfspitze bis zum Ende des längsten Teiles der natürlich ausgebreiteten Schwanzflosse, bei Krebsen von der vorderen Spitze des Kopfpanzers bis zum Ende des Schwanzes bei flach ausgelegtem Hinterleib.</w:t>
      </w:r>
    </w:p>
    <w:p w:rsidR="00BF0D74" w:rsidRDefault="00BF0D74" w:rsidP="00BF0D74">
      <w:pPr>
        <w:numPr>
          <w:ilvl w:val="12"/>
          <w:numId w:val="0"/>
        </w:numPr>
        <w:ind w:left="283"/>
        <w:jc w:val="both"/>
        <w:rPr>
          <w:rFonts w:ascii="Arial" w:hAnsi="Arial" w:cs="Arial"/>
        </w:rPr>
      </w:pPr>
      <w:r>
        <w:rPr>
          <w:rFonts w:ascii="Arial" w:hAnsi="Arial" w:cs="Arial"/>
        </w:rPr>
        <w:t>Fische, die das festgesetzte Mindestmaß noch nicht erreicht haben, sind besonders schonend zu behandeln und müssen unverzüglich in das Gewässer zurückgesetzt werden.</w:t>
      </w:r>
    </w:p>
    <w:p w:rsidR="00BF0D74" w:rsidRDefault="00BF0D74" w:rsidP="00BF0D74">
      <w:pPr>
        <w:numPr>
          <w:ilvl w:val="12"/>
          <w:numId w:val="0"/>
        </w:numPr>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Artenschonzeiten</w:t>
      </w:r>
    </w:p>
    <w:p w:rsidR="00BF0D74" w:rsidRDefault="00BF0D74" w:rsidP="00BF0D74">
      <w:pPr>
        <w:numPr>
          <w:ilvl w:val="12"/>
          <w:numId w:val="0"/>
        </w:numPr>
        <w:ind w:left="566" w:hanging="283"/>
        <w:jc w:val="both"/>
        <w:rPr>
          <w:rFonts w:ascii="Arial" w:hAnsi="Arial" w:cs="Arial"/>
        </w:rPr>
      </w:pPr>
      <w:r>
        <w:rPr>
          <w:rFonts w:ascii="Arial" w:hAnsi="Arial" w:cs="Arial"/>
        </w:rPr>
        <w:t>Im Geltungsbereich dieser Ordnung gelten folgende Schonzeiten:</w:t>
      </w:r>
    </w:p>
    <w:p w:rsidR="00BF0D74" w:rsidRDefault="00BF0D74" w:rsidP="00BF0D74">
      <w:pPr>
        <w:numPr>
          <w:ilvl w:val="12"/>
          <w:numId w:val="0"/>
        </w:numPr>
        <w:ind w:left="566" w:hanging="283"/>
        <w:jc w:val="both"/>
        <w:rPr>
          <w:rFonts w:ascii="Arial" w:hAnsi="Arial" w:cs="Arial"/>
          <w:sz w:val="16"/>
        </w:rPr>
      </w:pPr>
    </w:p>
    <w:tbl>
      <w:tblPr>
        <w:tblW w:w="0" w:type="auto"/>
        <w:tblInd w:w="496" w:type="dxa"/>
        <w:tblLayout w:type="fixed"/>
        <w:tblCellMar>
          <w:left w:w="70" w:type="dxa"/>
          <w:right w:w="70" w:type="dxa"/>
        </w:tblCellMar>
        <w:tblLook w:val="0000"/>
      </w:tblPr>
      <w:tblGrid>
        <w:gridCol w:w="1134"/>
        <w:gridCol w:w="2693"/>
        <w:gridCol w:w="425"/>
        <w:gridCol w:w="1134"/>
        <w:gridCol w:w="2693"/>
      </w:tblGrid>
      <w:tr w:rsidR="00BF0D74" w:rsidTr="007A00A8">
        <w:tc>
          <w:tcPr>
            <w:tcW w:w="1134" w:type="dxa"/>
            <w:tcBorders>
              <w:top w:val="single" w:sz="6" w:space="0" w:color="auto"/>
              <w:left w:val="single" w:sz="6" w:space="0" w:color="auto"/>
              <w:bottom w:val="single" w:sz="6" w:space="0" w:color="auto"/>
              <w:right w:val="single" w:sz="6"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Hecht</w:t>
            </w:r>
          </w:p>
        </w:tc>
        <w:tc>
          <w:tcPr>
            <w:tcW w:w="2693" w:type="dxa"/>
            <w:tcBorders>
              <w:top w:val="single" w:sz="6" w:space="0" w:color="auto"/>
              <w:left w:val="single" w:sz="6" w:space="0" w:color="auto"/>
              <w:bottom w:val="single" w:sz="6" w:space="0" w:color="auto"/>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vom 01. Februar bis 31. Mai.</w:t>
            </w:r>
          </w:p>
        </w:tc>
        <w:tc>
          <w:tcPr>
            <w:tcW w:w="425" w:type="dxa"/>
            <w:tcBorders>
              <w:left w:val="nil"/>
            </w:tcBorders>
          </w:tcPr>
          <w:p w:rsidR="00BF0D74" w:rsidRDefault="00BF0D74" w:rsidP="007A00A8">
            <w:pPr>
              <w:numPr>
                <w:ilvl w:val="12"/>
                <w:numId w:val="0"/>
              </w:numPr>
              <w:ind w:left="283" w:hanging="283"/>
              <w:jc w:val="both"/>
              <w:rPr>
                <w:rFonts w:ascii="Arial" w:hAnsi="Arial" w:cs="Arial"/>
              </w:rPr>
            </w:pPr>
          </w:p>
        </w:tc>
        <w:tc>
          <w:tcPr>
            <w:tcW w:w="1134" w:type="dxa"/>
          </w:tcPr>
          <w:p w:rsidR="00BF0D74" w:rsidRDefault="00BF0D74" w:rsidP="007A00A8">
            <w:pPr>
              <w:numPr>
                <w:ilvl w:val="12"/>
                <w:numId w:val="0"/>
              </w:numPr>
              <w:ind w:left="283" w:hanging="283"/>
              <w:jc w:val="both"/>
              <w:rPr>
                <w:rFonts w:ascii="Arial" w:hAnsi="Arial" w:cs="Arial"/>
              </w:rPr>
            </w:pPr>
          </w:p>
        </w:tc>
        <w:tc>
          <w:tcPr>
            <w:tcW w:w="2693" w:type="dxa"/>
          </w:tcPr>
          <w:p w:rsidR="00BF0D74" w:rsidRDefault="00BF0D74" w:rsidP="007A00A8">
            <w:pPr>
              <w:numPr>
                <w:ilvl w:val="12"/>
                <w:numId w:val="0"/>
              </w:numPr>
              <w:ind w:left="283" w:hanging="283"/>
              <w:jc w:val="both"/>
              <w:rPr>
                <w:rFonts w:ascii="Arial" w:hAnsi="Arial" w:cs="Arial"/>
              </w:rPr>
            </w:pPr>
          </w:p>
        </w:tc>
      </w:tr>
      <w:tr w:rsidR="00BF0D74" w:rsidTr="007A00A8">
        <w:tc>
          <w:tcPr>
            <w:tcW w:w="1134" w:type="dxa"/>
            <w:tcBorders>
              <w:top w:val="single" w:sz="6" w:space="0" w:color="auto"/>
              <w:left w:val="single" w:sz="6" w:space="0" w:color="auto"/>
              <w:bottom w:val="single" w:sz="6" w:space="0" w:color="auto"/>
              <w:right w:val="single" w:sz="6"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Zander</w:t>
            </w:r>
          </w:p>
        </w:tc>
        <w:tc>
          <w:tcPr>
            <w:tcW w:w="2693" w:type="dxa"/>
            <w:tcBorders>
              <w:top w:val="single" w:sz="6" w:space="0" w:color="auto"/>
              <w:left w:val="single" w:sz="6" w:space="0" w:color="auto"/>
              <w:bottom w:val="single" w:sz="6" w:space="0" w:color="auto"/>
              <w:right w:val="single" w:sz="4" w:space="0" w:color="auto"/>
            </w:tcBorders>
          </w:tcPr>
          <w:p w:rsidR="00BF0D74" w:rsidRDefault="00BF0D74" w:rsidP="007A00A8">
            <w:pPr>
              <w:numPr>
                <w:ilvl w:val="12"/>
                <w:numId w:val="0"/>
              </w:numPr>
              <w:ind w:left="283" w:hanging="283"/>
              <w:jc w:val="both"/>
              <w:rPr>
                <w:rFonts w:ascii="Arial" w:hAnsi="Arial" w:cs="Arial"/>
              </w:rPr>
            </w:pPr>
            <w:r>
              <w:rPr>
                <w:rFonts w:ascii="Arial" w:hAnsi="Arial" w:cs="Arial"/>
              </w:rPr>
              <w:t>vom 01. Februar bis 31. Mai.</w:t>
            </w:r>
          </w:p>
        </w:tc>
        <w:tc>
          <w:tcPr>
            <w:tcW w:w="425" w:type="dxa"/>
            <w:tcBorders>
              <w:left w:val="nil"/>
            </w:tcBorders>
          </w:tcPr>
          <w:p w:rsidR="00BF0D74" w:rsidRDefault="00BF0D74" w:rsidP="007A00A8">
            <w:pPr>
              <w:numPr>
                <w:ilvl w:val="12"/>
                <w:numId w:val="0"/>
              </w:numPr>
              <w:ind w:left="283" w:hanging="283"/>
              <w:jc w:val="both"/>
              <w:rPr>
                <w:rFonts w:ascii="Arial" w:hAnsi="Arial" w:cs="Arial"/>
              </w:rPr>
            </w:pPr>
          </w:p>
        </w:tc>
        <w:tc>
          <w:tcPr>
            <w:tcW w:w="1134" w:type="dxa"/>
          </w:tcPr>
          <w:p w:rsidR="00BF0D74" w:rsidRDefault="00BF0D74" w:rsidP="007A00A8">
            <w:pPr>
              <w:numPr>
                <w:ilvl w:val="12"/>
                <w:numId w:val="0"/>
              </w:numPr>
              <w:ind w:left="283" w:hanging="283"/>
              <w:jc w:val="both"/>
              <w:rPr>
                <w:rFonts w:ascii="Arial" w:hAnsi="Arial" w:cs="Arial"/>
              </w:rPr>
            </w:pPr>
          </w:p>
        </w:tc>
        <w:tc>
          <w:tcPr>
            <w:tcW w:w="2693" w:type="dxa"/>
          </w:tcPr>
          <w:p w:rsidR="00BF0D74" w:rsidRDefault="00BF0D74" w:rsidP="007A00A8">
            <w:pPr>
              <w:numPr>
                <w:ilvl w:val="12"/>
                <w:numId w:val="0"/>
              </w:numPr>
              <w:ind w:left="283" w:hanging="283"/>
              <w:jc w:val="both"/>
              <w:rPr>
                <w:rFonts w:ascii="Arial" w:hAnsi="Arial" w:cs="Arial"/>
              </w:rPr>
            </w:pPr>
          </w:p>
        </w:tc>
      </w:tr>
    </w:tbl>
    <w:p w:rsidR="00BF0D74" w:rsidRDefault="00BF0D74" w:rsidP="00BF0D74">
      <w:pPr>
        <w:ind w:left="283"/>
        <w:jc w:val="both"/>
        <w:rPr>
          <w:rFonts w:ascii="Arial" w:hAnsi="Arial" w:cs="Arial"/>
          <w:sz w:val="16"/>
        </w:rPr>
      </w:pPr>
    </w:p>
    <w:p w:rsidR="00BF0D74" w:rsidRDefault="00BF0D74" w:rsidP="00BF0D74">
      <w:pPr>
        <w:ind w:left="283"/>
        <w:jc w:val="both"/>
        <w:rPr>
          <w:rFonts w:ascii="Arial" w:hAnsi="Arial" w:cs="Arial"/>
        </w:rPr>
      </w:pPr>
      <w:r>
        <w:rPr>
          <w:rFonts w:ascii="Arial" w:hAnsi="Arial" w:cs="Arial"/>
        </w:rPr>
        <w:t>Die hegebedingten Abweichungen von den gesetzlichen Mindestmaßen und Schonzeiten bei Hecht und Zander sind besonders zu beachten.</w:t>
      </w:r>
    </w:p>
    <w:p w:rsidR="00BF0D74" w:rsidRDefault="00BF0D74" w:rsidP="00BF0D74">
      <w:pPr>
        <w:ind w:left="283"/>
        <w:jc w:val="both"/>
        <w:rPr>
          <w:rFonts w:ascii="Arial" w:hAnsi="Arial" w:cs="Arial"/>
        </w:rPr>
      </w:pPr>
      <w:r>
        <w:rPr>
          <w:rFonts w:ascii="Arial" w:hAnsi="Arial" w:cs="Arial"/>
        </w:rPr>
        <w:t>Fische, die der Artenschonzeit unterliegen, sind besonders schonend zu behandeln und müssen unverzüglich in das Gewässer zurückgesetzt werden.</w:t>
      </w:r>
    </w:p>
    <w:p w:rsidR="00BF0D74" w:rsidRDefault="00BF0D74" w:rsidP="00BF0D74">
      <w:pPr>
        <w:numPr>
          <w:ilvl w:val="12"/>
          <w:numId w:val="0"/>
        </w:numPr>
        <w:ind w:left="283" w:hanging="283"/>
        <w:jc w:val="both"/>
        <w:rPr>
          <w:rFonts w:ascii="Arial" w:hAnsi="Arial" w:cs="Arial"/>
          <w:sz w:val="16"/>
        </w:rPr>
      </w:pPr>
    </w:p>
    <w:p w:rsidR="00BF0D74" w:rsidRDefault="00BF0D74" w:rsidP="00BF0D74">
      <w:pPr>
        <w:numPr>
          <w:ilvl w:val="0"/>
          <w:numId w:val="2"/>
        </w:numPr>
        <w:jc w:val="both"/>
        <w:rPr>
          <w:rFonts w:ascii="Arial" w:hAnsi="Arial" w:cs="Arial"/>
          <w:b/>
        </w:rPr>
      </w:pPr>
      <w:r>
        <w:rPr>
          <w:rFonts w:ascii="Arial" w:hAnsi="Arial" w:cs="Arial"/>
          <w:b/>
        </w:rPr>
        <w:t>Fangliste</w:t>
      </w:r>
    </w:p>
    <w:p w:rsidR="00BF0D74" w:rsidRDefault="00BF0D74" w:rsidP="00BF0D74">
      <w:pPr>
        <w:ind w:left="283"/>
        <w:jc w:val="both"/>
        <w:rPr>
          <w:rFonts w:ascii="Arial" w:hAnsi="Arial" w:cs="Arial"/>
          <w:b/>
        </w:rPr>
      </w:pPr>
      <w:r>
        <w:rPr>
          <w:rFonts w:ascii="Arial" w:hAnsi="Arial" w:cs="Arial"/>
        </w:rPr>
        <w:t xml:space="preserve">Der Erlaubnisscheininhaber ist verpflichtet, eine Fangliste nach dem vom Verein jeweils vorgeschriebenen Muster bzw. Verfahren zu führen (siehe auch Beiblatt zur Fangliste). Die Erteilung eines Erlaubnisscheines für die nachfolgende Saison ist nur gegen </w:t>
      </w:r>
      <w:r>
        <w:rPr>
          <w:rFonts w:ascii="Arial" w:hAnsi="Arial" w:cs="Arial"/>
          <w:u w:val="single"/>
        </w:rPr>
        <w:t>Rückgabe</w:t>
      </w:r>
      <w:r>
        <w:rPr>
          <w:rFonts w:ascii="Arial" w:hAnsi="Arial" w:cs="Arial"/>
        </w:rPr>
        <w:t xml:space="preserve"> der ausgefüllten Fangliste bis </w:t>
      </w:r>
      <w:r>
        <w:rPr>
          <w:rFonts w:ascii="Arial" w:hAnsi="Arial" w:cs="Arial"/>
          <w:u w:val="single"/>
        </w:rPr>
        <w:t>spätestens 31. März</w:t>
      </w:r>
      <w:r>
        <w:rPr>
          <w:rFonts w:ascii="Arial" w:hAnsi="Arial" w:cs="Arial"/>
        </w:rPr>
        <w:t xml:space="preserve"> möglich.</w:t>
      </w:r>
    </w:p>
    <w:p w:rsidR="00BF0D74" w:rsidRDefault="00BF0D74" w:rsidP="00BF0D74">
      <w:pPr>
        <w:jc w:val="both"/>
        <w:rPr>
          <w:rFonts w:ascii="Arial" w:hAnsi="Arial" w:cs="Arial"/>
          <w:b/>
          <w:sz w:val="16"/>
        </w:rPr>
      </w:pPr>
    </w:p>
    <w:p w:rsidR="00BF0D74" w:rsidRDefault="00BF0D74" w:rsidP="00BF0D74">
      <w:pPr>
        <w:numPr>
          <w:ilvl w:val="0"/>
          <w:numId w:val="2"/>
        </w:numPr>
        <w:jc w:val="both"/>
        <w:rPr>
          <w:rFonts w:ascii="Arial" w:hAnsi="Arial" w:cs="Arial"/>
          <w:b/>
        </w:rPr>
      </w:pPr>
      <w:r>
        <w:rPr>
          <w:rFonts w:ascii="Arial" w:hAnsi="Arial" w:cs="Arial"/>
          <w:b/>
        </w:rPr>
        <w:t>Besondere Ereignisse am Gewässer</w:t>
      </w:r>
    </w:p>
    <w:p w:rsidR="00BF0D74" w:rsidRDefault="00BF0D74" w:rsidP="00BF0D74">
      <w:pPr>
        <w:ind w:left="283"/>
        <w:jc w:val="both"/>
        <w:rPr>
          <w:rFonts w:ascii="Arial" w:hAnsi="Arial" w:cs="Arial"/>
        </w:rPr>
      </w:pPr>
      <w:r>
        <w:rPr>
          <w:rFonts w:ascii="Arial" w:hAnsi="Arial" w:cs="Arial"/>
        </w:rPr>
        <w:t>Bei Fischsterben, Auftreten von Fischkrankheiten, bei Schädigung der Natur allgemein und der Gewässer im besonderen sowie bei Fischwilderei und Fischfrevel ist jeder Angler verpflichtet, dem Verein unverzüglich Meldung zu erstatten. Bei Fischsterben ist zusätzlich sofort die Polizei zu informieren.</w:t>
      </w:r>
    </w:p>
    <w:p w:rsidR="00BF0D74" w:rsidRDefault="00BF0D74" w:rsidP="00BF0D74">
      <w:pPr>
        <w:jc w:val="both"/>
        <w:rPr>
          <w:rFonts w:ascii="Arial" w:hAnsi="Arial" w:cs="Arial"/>
          <w:b/>
          <w:sz w:val="16"/>
        </w:rPr>
      </w:pPr>
    </w:p>
    <w:p w:rsidR="00BF0D74" w:rsidRDefault="00BF0D74" w:rsidP="00BF0D74">
      <w:pPr>
        <w:numPr>
          <w:ilvl w:val="0"/>
          <w:numId w:val="2"/>
        </w:numPr>
        <w:jc w:val="both"/>
        <w:rPr>
          <w:rFonts w:ascii="Arial" w:hAnsi="Arial" w:cs="Arial"/>
          <w:b/>
        </w:rPr>
      </w:pPr>
      <w:r>
        <w:rPr>
          <w:rFonts w:ascii="Arial" w:hAnsi="Arial" w:cs="Arial"/>
          <w:b/>
        </w:rPr>
        <w:t>Verkaufs- und Handelsverbot</w:t>
      </w:r>
    </w:p>
    <w:p w:rsidR="00BF0D74" w:rsidRDefault="00BF0D74" w:rsidP="00BF0D74">
      <w:pPr>
        <w:ind w:left="283"/>
        <w:jc w:val="both"/>
        <w:rPr>
          <w:rFonts w:ascii="Arial" w:hAnsi="Arial" w:cs="Arial"/>
          <w:b/>
        </w:rPr>
      </w:pPr>
      <w:r>
        <w:rPr>
          <w:rFonts w:ascii="Arial" w:hAnsi="Arial" w:cs="Arial"/>
        </w:rPr>
        <w:t>Die in den Vereinsgewässern gefangenen Fische dürfen weder verkauft noch getauscht werden.</w:t>
      </w:r>
    </w:p>
    <w:p w:rsidR="00BF0D74" w:rsidRDefault="00BF0D74" w:rsidP="00BF0D74">
      <w:pPr>
        <w:jc w:val="both"/>
        <w:rPr>
          <w:rFonts w:ascii="Arial" w:hAnsi="Arial" w:cs="Arial"/>
          <w:b/>
          <w:sz w:val="16"/>
        </w:rPr>
      </w:pPr>
    </w:p>
    <w:p w:rsidR="00BF0D74" w:rsidRDefault="00BF0D74" w:rsidP="00BF0D74">
      <w:pPr>
        <w:numPr>
          <w:ilvl w:val="0"/>
          <w:numId w:val="2"/>
        </w:numPr>
        <w:jc w:val="both"/>
        <w:rPr>
          <w:rFonts w:ascii="Arial" w:hAnsi="Arial" w:cs="Arial"/>
          <w:b/>
        </w:rPr>
      </w:pPr>
      <w:r>
        <w:rPr>
          <w:rFonts w:ascii="Arial" w:hAnsi="Arial" w:cs="Arial"/>
          <w:b/>
        </w:rPr>
        <w:t>Fischereiaufsicht</w:t>
      </w:r>
    </w:p>
    <w:p w:rsidR="00BF0D74" w:rsidRDefault="00BF0D74" w:rsidP="00BF0D74">
      <w:pPr>
        <w:ind w:left="283"/>
        <w:jc w:val="both"/>
        <w:rPr>
          <w:rFonts w:ascii="Arial" w:hAnsi="Arial" w:cs="Arial"/>
        </w:rPr>
      </w:pPr>
      <w:r>
        <w:rPr>
          <w:rFonts w:ascii="Arial" w:hAnsi="Arial" w:cs="Arial"/>
        </w:rPr>
        <w:t>Die vom Verein mit der Aufsicht an den Gewässern beauftragten Mitglieder sind verpflichtet, bei ihren Kontrollen auf die Einhaltung der geltenden Bestimmungen zu achten. Die Kontrollbeauftragten sind befugt, geeignete Maßnahmen zur Feststellung und Aufklärung von Verstößen zu treffen. Den von ihnen gegebenen Weisungen muss Folge geleistet werden soweit sie mit den vom Verein vorgegebenen Bestimmungen und dem Gesetz vereinbar sind. Der Fischereischein, Erlaubnisschein, Fangliste und Fang sind dem Kontrollbeauftragten auf Verlangen zur Einsichtnahme vorzuzeigen.</w:t>
      </w:r>
    </w:p>
    <w:p w:rsidR="00BF0D74" w:rsidRDefault="00BF0D74" w:rsidP="00BF0D74">
      <w:pPr>
        <w:ind w:left="283"/>
        <w:jc w:val="both"/>
        <w:rPr>
          <w:rFonts w:ascii="Arial" w:hAnsi="Arial" w:cs="Arial"/>
          <w:b/>
        </w:rPr>
      </w:pPr>
      <w:r>
        <w:rPr>
          <w:rFonts w:ascii="Arial" w:hAnsi="Arial" w:cs="Arial"/>
        </w:rPr>
        <w:t xml:space="preserve">Diese Bestimmungen gelten im </w:t>
      </w:r>
      <w:proofErr w:type="spellStart"/>
      <w:r>
        <w:rPr>
          <w:rFonts w:ascii="Arial" w:hAnsi="Arial" w:cs="Arial"/>
        </w:rPr>
        <w:t>übrigen</w:t>
      </w:r>
      <w:proofErr w:type="spellEnd"/>
      <w:r>
        <w:rPr>
          <w:rFonts w:ascii="Arial" w:hAnsi="Arial" w:cs="Arial"/>
        </w:rPr>
        <w:t xml:space="preserve"> auch für staatliche Fischereiaufseher, welche allerdings noch weitergehende gesetzlich verankerte Rechte haben. Bei gegebenem Anlass können Sie den Fischereischein einziehen.</w:t>
      </w:r>
    </w:p>
    <w:p w:rsidR="00BF0D74" w:rsidRDefault="00BF0D74" w:rsidP="00BF0D74">
      <w:pPr>
        <w:numPr>
          <w:ilvl w:val="12"/>
          <w:numId w:val="0"/>
        </w:numPr>
        <w:ind w:left="283" w:hanging="283"/>
        <w:jc w:val="both"/>
        <w:rPr>
          <w:rFonts w:ascii="Arial" w:hAnsi="Arial" w:cs="Arial"/>
          <w:sz w:val="16"/>
        </w:rPr>
      </w:pPr>
    </w:p>
    <w:p w:rsidR="00BF0D74" w:rsidRDefault="00BF0D74" w:rsidP="00BF0D74">
      <w:pPr>
        <w:jc w:val="both"/>
        <w:rPr>
          <w:rFonts w:ascii="Arial" w:hAnsi="Arial" w:cs="Arial"/>
        </w:rPr>
      </w:pPr>
      <w:r>
        <w:rPr>
          <w:rFonts w:ascii="Arial" w:hAnsi="Arial" w:cs="Arial"/>
        </w:rPr>
        <w:t>Bitte denken Sie stets daran, dass Sie es bei der Ausübung des Fischfangs mit Lebewesen zu tun haben. Mit Ihrem verantwortungs- und rücksichtsvollen Verhalten tragen Sie wesentlich zum Ansehen des Vereins und der Angler im besonderen in unserer Gesellschaft bei.</w:t>
      </w:r>
    </w:p>
    <w:p w:rsidR="00A0753F" w:rsidRDefault="00A0753F"/>
    <w:sectPr w:rsidR="00A0753F" w:rsidSect="00CF43D6">
      <w:footerReference w:type="default" r:id="rId8"/>
      <w:pgSz w:w="11907" w:h="16840"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6A" w:rsidRDefault="00C4106A" w:rsidP="00CF43D6">
      <w:r>
        <w:separator/>
      </w:r>
    </w:p>
  </w:endnote>
  <w:endnote w:type="continuationSeparator" w:id="0">
    <w:p w:rsidR="00C4106A" w:rsidRDefault="00C4106A" w:rsidP="00CF4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CellMar>
        <w:left w:w="70" w:type="dxa"/>
        <w:right w:w="70" w:type="dxa"/>
      </w:tblCellMar>
      <w:tblLook w:val="0000"/>
    </w:tblPr>
    <w:tblGrid>
      <w:gridCol w:w="5172"/>
      <w:gridCol w:w="5172"/>
    </w:tblGrid>
    <w:tr w:rsidR="008716F3">
      <w:tc>
        <w:tcPr>
          <w:tcW w:w="5172" w:type="dxa"/>
        </w:tcPr>
        <w:p w:rsidR="008716F3" w:rsidRDefault="00BF0D74">
          <w:pPr>
            <w:pStyle w:val="Fuzeile"/>
            <w:jc w:val="both"/>
            <w:rPr>
              <w:rFonts w:ascii="Arial" w:hAnsi="Arial" w:cs="Arial"/>
              <w:sz w:val="16"/>
            </w:rPr>
          </w:pPr>
          <w:r>
            <w:rPr>
              <w:rStyle w:val="Seitenzahl"/>
              <w:rFonts w:ascii="Arial" w:hAnsi="Arial" w:cs="Arial"/>
              <w:snapToGrid w:val="0"/>
              <w:sz w:val="16"/>
            </w:rPr>
            <w:t>Gewässerordnung Fischzuchtverein Sondernheim</w:t>
          </w:r>
        </w:p>
      </w:tc>
      <w:tc>
        <w:tcPr>
          <w:tcW w:w="5172" w:type="dxa"/>
        </w:tcPr>
        <w:p w:rsidR="008716F3" w:rsidRDefault="00BF0D74">
          <w:pPr>
            <w:pStyle w:val="Fuzeile"/>
            <w:jc w:val="right"/>
            <w:rPr>
              <w:rFonts w:ascii="Arial" w:hAnsi="Arial" w:cs="Arial"/>
              <w:sz w:val="20"/>
            </w:rPr>
          </w:pPr>
          <w:r>
            <w:rPr>
              <w:rStyle w:val="Seitenzahl"/>
              <w:rFonts w:ascii="Arial" w:hAnsi="Arial" w:cs="Arial"/>
              <w:snapToGrid w:val="0"/>
              <w:sz w:val="20"/>
            </w:rPr>
            <w:t xml:space="preserve">Seite </w:t>
          </w:r>
          <w:r w:rsidR="00CF43D6">
            <w:rPr>
              <w:rStyle w:val="Seitenzahl"/>
              <w:rFonts w:ascii="Arial" w:hAnsi="Arial" w:cs="Arial"/>
              <w:snapToGrid w:val="0"/>
              <w:sz w:val="20"/>
            </w:rPr>
            <w:fldChar w:fldCharType="begin"/>
          </w:r>
          <w:r>
            <w:rPr>
              <w:rStyle w:val="Seitenzahl"/>
              <w:rFonts w:ascii="Arial" w:hAnsi="Arial" w:cs="Arial"/>
              <w:snapToGrid w:val="0"/>
              <w:sz w:val="20"/>
            </w:rPr>
            <w:instrText xml:space="preserve"> PAGE </w:instrText>
          </w:r>
          <w:r w:rsidR="00CF43D6">
            <w:rPr>
              <w:rStyle w:val="Seitenzahl"/>
              <w:rFonts w:ascii="Arial" w:hAnsi="Arial" w:cs="Arial"/>
              <w:snapToGrid w:val="0"/>
              <w:sz w:val="20"/>
            </w:rPr>
            <w:fldChar w:fldCharType="separate"/>
          </w:r>
          <w:r w:rsidR="00404A05">
            <w:rPr>
              <w:rStyle w:val="Seitenzahl"/>
              <w:rFonts w:ascii="Arial" w:hAnsi="Arial" w:cs="Arial"/>
              <w:noProof/>
              <w:snapToGrid w:val="0"/>
              <w:sz w:val="20"/>
            </w:rPr>
            <w:t>1</w:t>
          </w:r>
          <w:r w:rsidR="00CF43D6">
            <w:rPr>
              <w:rStyle w:val="Seitenzahl"/>
              <w:rFonts w:ascii="Arial" w:hAnsi="Arial" w:cs="Arial"/>
              <w:snapToGrid w:val="0"/>
              <w:sz w:val="20"/>
            </w:rPr>
            <w:fldChar w:fldCharType="end"/>
          </w:r>
          <w:r>
            <w:rPr>
              <w:rStyle w:val="Seitenzahl"/>
              <w:rFonts w:ascii="Arial" w:hAnsi="Arial" w:cs="Arial"/>
              <w:snapToGrid w:val="0"/>
              <w:sz w:val="20"/>
            </w:rPr>
            <w:t xml:space="preserve"> von </w:t>
          </w:r>
          <w:r w:rsidR="00CF43D6">
            <w:rPr>
              <w:rStyle w:val="Seitenzahl"/>
              <w:rFonts w:ascii="Arial" w:hAnsi="Arial" w:cs="Arial"/>
              <w:snapToGrid w:val="0"/>
              <w:sz w:val="20"/>
            </w:rPr>
            <w:fldChar w:fldCharType="begin"/>
          </w:r>
          <w:r>
            <w:rPr>
              <w:rStyle w:val="Seitenzahl"/>
              <w:rFonts w:ascii="Arial" w:hAnsi="Arial" w:cs="Arial"/>
              <w:snapToGrid w:val="0"/>
              <w:sz w:val="20"/>
            </w:rPr>
            <w:instrText xml:space="preserve"> NUMPAGES </w:instrText>
          </w:r>
          <w:r w:rsidR="00CF43D6">
            <w:rPr>
              <w:rStyle w:val="Seitenzahl"/>
              <w:rFonts w:ascii="Arial" w:hAnsi="Arial" w:cs="Arial"/>
              <w:snapToGrid w:val="0"/>
              <w:sz w:val="20"/>
            </w:rPr>
            <w:fldChar w:fldCharType="separate"/>
          </w:r>
          <w:r w:rsidR="00404A05">
            <w:rPr>
              <w:rStyle w:val="Seitenzahl"/>
              <w:rFonts w:ascii="Arial" w:hAnsi="Arial" w:cs="Arial"/>
              <w:noProof/>
              <w:snapToGrid w:val="0"/>
              <w:sz w:val="20"/>
            </w:rPr>
            <w:t>2</w:t>
          </w:r>
          <w:r w:rsidR="00CF43D6">
            <w:rPr>
              <w:rStyle w:val="Seitenzahl"/>
              <w:rFonts w:ascii="Arial" w:hAnsi="Arial" w:cs="Arial"/>
              <w:snapToGrid w:val="0"/>
              <w:sz w:val="20"/>
            </w:rPr>
            <w:fldChar w:fldCharType="end"/>
          </w:r>
        </w:p>
      </w:tc>
    </w:tr>
  </w:tbl>
  <w:p w:rsidR="008716F3" w:rsidRDefault="00C4106A">
    <w:pPr>
      <w:pStyle w:val="Fuzeile"/>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6A" w:rsidRDefault="00C4106A" w:rsidP="00CF43D6">
      <w:r>
        <w:separator/>
      </w:r>
    </w:p>
  </w:footnote>
  <w:footnote w:type="continuationSeparator" w:id="0">
    <w:p w:rsidR="00C4106A" w:rsidRDefault="00C4106A" w:rsidP="00CF4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4CC"/>
    <w:multiLevelType w:val="singleLevel"/>
    <w:tmpl w:val="04070007"/>
    <w:lvl w:ilvl="0">
      <w:start w:val="1"/>
      <w:numFmt w:val="bullet"/>
      <w:lvlText w:val="-"/>
      <w:lvlJc w:val="left"/>
      <w:pPr>
        <w:tabs>
          <w:tab w:val="num" w:pos="360"/>
        </w:tabs>
        <w:ind w:left="360" w:hanging="360"/>
      </w:pPr>
      <w:rPr>
        <w:sz w:val="16"/>
      </w:rPr>
    </w:lvl>
  </w:abstractNum>
  <w:abstractNum w:abstractNumId="1">
    <w:nsid w:val="518E7891"/>
    <w:multiLevelType w:val="singleLevel"/>
    <w:tmpl w:val="23FE48A4"/>
    <w:lvl w:ilvl="0">
      <w:start w:val="1"/>
      <w:numFmt w:val="decimal"/>
      <w:lvlText w:val="%1."/>
      <w:legacy w:legacy="1" w:legacySpace="0" w:legacyIndent="283"/>
      <w:lvlJc w:val="left"/>
      <w:pPr>
        <w:ind w:left="283"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characterSpacingControl w:val="doNotCompress"/>
  <w:footnotePr>
    <w:footnote w:id="-1"/>
    <w:footnote w:id="0"/>
  </w:footnotePr>
  <w:endnotePr>
    <w:endnote w:id="-1"/>
    <w:endnote w:id="0"/>
  </w:endnotePr>
  <w:compat/>
  <w:rsids>
    <w:rsidRoot w:val="00BF0D74"/>
    <w:rsid w:val="00404A05"/>
    <w:rsid w:val="00A0753F"/>
    <w:rsid w:val="00BF0D74"/>
    <w:rsid w:val="00C4106A"/>
    <w:rsid w:val="00CF43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7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BF0D74"/>
    <w:pPr>
      <w:tabs>
        <w:tab w:val="center" w:pos="4536"/>
        <w:tab w:val="right" w:pos="9072"/>
      </w:tabs>
    </w:pPr>
    <w:rPr>
      <w:rFonts w:ascii="ZapfHumnst BT" w:hAnsi="ZapfHumnst BT"/>
      <w:sz w:val="24"/>
    </w:rPr>
  </w:style>
  <w:style w:type="character" w:customStyle="1" w:styleId="FuzeileZchn">
    <w:name w:val="Fußzeile Zchn"/>
    <w:basedOn w:val="Absatz-Standardschriftart"/>
    <w:link w:val="Fuzeile"/>
    <w:semiHidden/>
    <w:rsid w:val="00BF0D74"/>
    <w:rPr>
      <w:rFonts w:ascii="ZapfHumnst BT" w:eastAsia="Times New Roman" w:hAnsi="ZapfHumnst BT" w:cs="Times New Roman"/>
      <w:sz w:val="24"/>
      <w:szCs w:val="20"/>
      <w:lang w:eastAsia="de-DE"/>
    </w:rPr>
  </w:style>
  <w:style w:type="character" w:styleId="Seitenzahl">
    <w:name w:val="page number"/>
    <w:basedOn w:val="Absatz-Standardschriftart"/>
    <w:semiHidden/>
    <w:rsid w:val="00BF0D74"/>
  </w:style>
  <w:style w:type="paragraph" w:styleId="Textkrper-Zeileneinzug">
    <w:name w:val="Body Text Indent"/>
    <w:basedOn w:val="Standard"/>
    <w:link w:val="Textkrper-ZeileneinzugZchn"/>
    <w:semiHidden/>
    <w:rsid w:val="00BF0D74"/>
    <w:pPr>
      <w:ind w:left="283"/>
      <w:jc w:val="both"/>
    </w:pPr>
    <w:rPr>
      <w:rFonts w:ascii="Arial" w:hAnsi="Arial" w:cs="Arial"/>
    </w:rPr>
  </w:style>
  <w:style w:type="character" w:customStyle="1" w:styleId="Textkrper-ZeileneinzugZchn">
    <w:name w:val="Textkörper-Zeileneinzug Zchn"/>
    <w:basedOn w:val="Absatz-Standardschriftart"/>
    <w:link w:val="Textkrper-Zeileneinzug"/>
    <w:semiHidden/>
    <w:rsid w:val="00BF0D74"/>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BF0D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0D7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6618</Characters>
  <Application>Microsoft Office Word</Application>
  <DocSecurity>0</DocSecurity>
  <Lines>55</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Segelboot</dc:creator>
  <cp:lastModifiedBy>Segelboot</cp:lastModifiedBy>
  <cp:revision>2</cp:revision>
  <dcterms:created xsi:type="dcterms:W3CDTF">2016-08-05T11:30:00Z</dcterms:created>
  <dcterms:modified xsi:type="dcterms:W3CDTF">2016-08-05T17:22:00Z</dcterms:modified>
</cp:coreProperties>
</file>